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3377" w14:textId="43721A7F" w:rsidR="0058533A" w:rsidRPr="006A7909" w:rsidRDefault="00F3350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7909">
        <w:rPr>
          <w:rFonts w:ascii="Arial" w:hAnsi="Arial" w:cs="Arial"/>
          <w:b/>
          <w:bCs/>
          <w:sz w:val="24"/>
          <w:szCs w:val="24"/>
        </w:rPr>
        <w:t>Links to CE for PMHS Recert</w:t>
      </w:r>
      <w:r w:rsidR="00B55B3A">
        <w:rPr>
          <w:rFonts w:ascii="Arial" w:hAnsi="Arial" w:cs="Arial"/>
          <w:b/>
          <w:bCs/>
          <w:sz w:val="24"/>
          <w:szCs w:val="24"/>
        </w:rPr>
        <w:t xml:space="preserve"> – Updated September 20</w:t>
      </w:r>
      <w:r w:rsidR="00DC6A4E">
        <w:rPr>
          <w:rFonts w:ascii="Arial" w:hAnsi="Arial" w:cs="Arial"/>
          <w:b/>
          <w:bCs/>
          <w:sz w:val="24"/>
          <w:szCs w:val="24"/>
        </w:rPr>
        <w:t>20</w:t>
      </w:r>
    </w:p>
    <w:p w14:paraId="028034B8" w14:textId="0B731C03" w:rsidR="00F3350A" w:rsidRPr="006A7909" w:rsidRDefault="00F3350A">
      <w:pPr>
        <w:rPr>
          <w:rFonts w:ascii="Arial" w:hAnsi="Arial" w:cs="Arial"/>
          <w:sz w:val="20"/>
          <w:szCs w:val="20"/>
        </w:rPr>
      </w:pPr>
    </w:p>
    <w:p w14:paraId="369AD313" w14:textId="3ED536A2" w:rsidR="00F3350A" w:rsidRPr="006A7909" w:rsidRDefault="00F3350A">
      <w:p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Also note that you can use up to 600 PMHS-related work hours to count as non-psychopharm hours:</w:t>
      </w:r>
    </w:p>
    <w:p w14:paraId="149DC450" w14:textId="0380F447" w:rsidR="00F3350A" w:rsidRPr="006A7909" w:rsidRDefault="00F3350A">
      <w:pPr>
        <w:rPr>
          <w:rFonts w:ascii="Arial" w:hAnsi="Arial" w:cs="Arial"/>
          <w:sz w:val="20"/>
          <w:szCs w:val="20"/>
        </w:rPr>
      </w:pPr>
    </w:p>
    <w:p w14:paraId="0527F8A6" w14:textId="7389A1B3" w:rsidR="00F3350A" w:rsidRPr="006A7909" w:rsidRDefault="00F3350A" w:rsidP="00F335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200 hours in a 12-month period = 5 contact hours</w:t>
      </w:r>
    </w:p>
    <w:p w14:paraId="085A4DD4" w14:textId="43F85408" w:rsidR="00F3350A" w:rsidRPr="006A7909" w:rsidRDefault="00F3350A" w:rsidP="00F335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400 hours in a 12-month period = 10 contact hours</w:t>
      </w:r>
    </w:p>
    <w:p w14:paraId="0B687C5C" w14:textId="786B624A" w:rsidR="00F3350A" w:rsidRPr="006A7909" w:rsidRDefault="00F3350A" w:rsidP="00F335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600 hours in a 12-month period = 15 contact hours</w:t>
      </w:r>
    </w:p>
    <w:p w14:paraId="4AA6A552" w14:textId="785BEB40" w:rsidR="008517C7" w:rsidRPr="006A7909" w:rsidRDefault="008517C7" w:rsidP="008517C7">
      <w:pPr>
        <w:rPr>
          <w:rFonts w:ascii="Arial" w:hAnsi="Arial" w:cs="Arial"/>
          <w:sz w:val="20"/>
          <w:szCs w:val="20"/>
        </w:rPr>
      </w:pPr>
    </w:p>
    <w:p w14:paraId="795CF088" w14:textId="7B52A5B5" w:rsidR="008517C7" w:rsidRPr="006A7909" w:rsidRDefault="006A7909" w:rsidP="00851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517C7" w:rsidRPr="006A7909">
        <w:rPr>
          <w:rFonts w:ascii="Arial" w:hAnsi="Arial" w:cs="Arial"/>
          <w:sz w:val="20"/>
          <w:szCs w:val="20"/>
        </w:rPr>
        <w:t xml:space="preserve">f you use </w:t>
      </w:r>
      <w:hyperlink r:id="rId6" w:history="1">
        <w:r w:rsidR="008517C7" w:rsidRPr="006A7909">
          <w:rPr>
            <w:rStyle w:val="Hyperlink"/>
            <w:rFonts w:ascii="Arial" w:hAnsi="Arial" w:cs="Arial"/>
            <w:sz w:val="20"/>
            <w:szCs w:val="20"/>
          </w:rPr>
          <w:t>UpToDate</w:t>
        </w:r>
      </w:hyperlink>
      <w:r w:rsidR="008517C7" w:rsidRPr="006A7909">
        <w:rPr>
          <w:rFonts w:ascii="Arial" w:hAnsi="Arial" w:cs="Arial"/>
          <w:sz w:val="20"/>
          <w:szCs w:val="20"/>
        </w:rPr>
        <w:t>, there</w:t>
      </w:r>
      <w:r>
        <w:rPr>
          <w:rFonts w:ascii="Arial" w:hAnsi="Arial" w:cs="Arial"/>
          <w:sz w:val="20"/>
          <w:szCs w:val="20"/>
        </w:rPr>
        <w:t xml:space="preserve"> is a method explained in the</w:t>
      </w:r>
      <w:r w:rsidR="00DC6A4E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platform t</w:t>
      </w:r>
      <w:r w:rsidR="008517C7" w:rsidRPr="006A7909">
        <w:rPr>
          <w:rFonts w:ascii="Arial" w:hAnsi="Arial" w:cs="Arial"/>
          <w:sz w:val="20"/>
          <w:szCs w:val="20"/>
        </w:rPr>
        <w:t xml:space="preserve">o convert your usage of that to hours. </w:t>
      </w:r>
      <w:r>
        <w:rPr>
          <w:rFonts w:ascii="Arial" w:hAnsi="Arial" w:cs="Arial"/>
          <w:sz w:val="20"/>
          <w:szCs w:val="20"/>
        </w:rPr>
        <w:t xml:space="preserve">PNCB now offers a </w:t>
      </w:r>
      <w:hyperlink r:id="rId7" w:history="1">
        <w:r w:rsidRPr="00910E4E">
          <w:rPr>
            <w:rStyle w:val="Hyperlink"/>
            <w:rFonts w:ascii="Arial" w:hAnsi="Arial" w:cs="Arial"/>
            <w:sz w:val="20"/>
            <w:szCs w:val="20"/>
          </w:rPr>
          <w:t xml:space="preserve">discount </w:t>
        </w:r>
        <w:r w:rsidR="00910E4E" w:rsidRPr="00910E4E">
          <w:rPr>
            <w:rStyle w:val="Hyperlink"/>
            <w:rFonts w:ascii="Arial" w:hAnsi="Arial" w:cs="Arial"/>
            <w:sz w:val="20"/>
            <w:szCs w:val="20"/>
          </w:rPr>
          <w:t xml:space="preserve">for </w:t>
        </w:r>
        <w:r w:rsidRPr="00910E4E">
          <w:rPr>
            <w:rStyle w:val="Hyperlink"/>
            <w:rFonts w:ascii="Arial" w:hAnsi="Arial" w:cs="Arial"/>
            <w:sz w:val="20"/>
            <w:szCs w:val="20"/>
          </w:rPr>
          <w:t>UpToDate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E362E38" w14:textId="19CB0394" w:rsidR="00DC6A4E" w:rsidRPr="00DC6A4E" w:rsidRDefault="00DC6A4E" w:rsidP="00DC6A4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C6A4E">
        <w:rPr>
          <w:rFonts w:ascii="Arial" w:hAnsi="Arial" w:cs="Arial"/>
          <w:b/>
          <w:sz w:val="20"/>
          <w:szCs w:val="20"/>
        </w:rPr>
        <w:t xml:space="preserve">Note: </w:t>
      </w:r>
      <w:r w:rsidRPr="00DC6A4E">
        <w:rPr>
          <w:rFonts w:ascii="Arial" w:hAnsi="Arial" w:cs="Arial"/>
          <w:bCs/>
          <w:sz w:val="20"/>
          <w:szCs w:val="20"/>
        </w:rPr>
        <w:t>Please do not enter a single aggregate “lump sum” entry for UpToDate, Audio Digest, Prescriber’s Letter, etc. and conferences</w:t>
      </w:r>
      <w:r>
        <w:rPr>
          <w:rFonts w:ascii="Arial" w:hAnsi="Arial" w:cs="Arial"/>
          <w:bCs/>
          <w:sz w:val="20"/>
          <w:szCs w:val="20"/>
        </w:rPr>
        <w:t>.</w:t>
      </w:r>
      <w:r w:rsidRPr="00DC6A4E">
        <w:rPr>
          <w:rFonts w:ascii="Arial" w:hAnsi="Arial" w:cs="Arial"/>
          <w:bCs/>
          <w:sz w:val="20"/>
          <w:szCs w:val="20"/>
        </w:rPr>
        <w:t xml:space="preserve"> You must enter each individual CME/CE activity by topic/session name as a separate entry on the application/tracker so that the link to your PMHS certification specialty is clear. If the activity is fully pediatric DBMH content, then you may enter it as a single line item.</w:t>
      </w:r>
    </w:p>
    <w:p w14:paraId="6382609D" w14:textId="77777777" w:rsidR="00DC6A4E" w:rsidRDefault="00DC6A4E">
      <w:pPr>
        <w:rPr>
          <w:rFonts w:ascii="Arial" w:hAnsi="Arial" w:cs="Arial"/>
          <w:b/>
          <w:sz w:val="20"/>
          <w:szCs w:val="20"/>
        </w:rPr>
      </w:pPr>
    </w:p>
    <w:p w14:paraId="733E59EA" w14:textId="0CF1F7B9" w:rsidR="00182D3F" w:rsidRDefault="00182D3F">
      <w:p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b/>
          <w:sz w:val="20"/>
          <w:szCs w:val="20"/>
        </w:rPr>
        <w:t>Disclaimer:</w:t>
      </w:r>
      <w:r w:rsidRPr="006A7909">
        <w:rPr>
          <w:rFonts w:ascii="Arial" w:hAnsi="Arial" w:cs="Arial"/>
          <w:sz w:val="20"/>
          <w:szCs w:val="20"/>
        </w:rPr>
        <w:t xml:space="preserve"> For the below, except for PNCB </w:t>
      </w:r>
      <w:r w:rsidR="00DC6A4E">
        <w:rPr>
          <w:rFonts w:ascii="Arial" w:hAnsi="Arial" w:cs="Arial"/>
          <w:sz w:val="20"/>
          <w:szCs w:val="20"/>
        </w:rPr>
        <w:t>CE (listed first below),</w:t>
      </w:r>
      <w:r w:rsidRPr="006A7909">
        <w:rPr>
          <w:rFonts w:ascii="Arial" w:hAnsi="Arial" w:cs="Arial"/>
          <w:sz w:val="20"/>
          <w:szCs w:val="20"/>
        </w:rPr>
        <w:t xml:space="preserve"> we </w:t>
      </w:r>
      <w:r w:rsidR="006A7909">
        <w:rPr>
          <w:rFonts w:ascii="Arial" w:hAnsi="Arial" w:cs="Arial"/>
          <w:sz w:val="20"/>
          <w:szCs w:val="20"/>
        </w:rPr>
        <w:t xml:space="preserve">cannot confirm the </w:t>
      </w:r>
      <w:r w:rsidRPr="006A7909">
        <w:rPr>
          <w:rFonts w:ascii="Arial" w:hAnsi="Arial" w:cs="Arial"/>
          <w:sz w:val="20"/>
          <w:szCs w:val="20"/>
        </w:rPr>
        <w:t xml:space="preserve">quality of these courses, but they are from respected and frequently used sources. </w:t>
      </w:r>
      <w:r w:rsidR="00645145">
        <w:rPr>
          <w:rFonts w:ascii="Arial" w:hAnsi="Arial" w:cs="Arial"/>
          <w:sz w:val="20"/>
          <w:szCs w:val="20"/>
        </w:rPr>
        <w:t xml:space="preserve">Prices current at time of compilation. Please check respective websites for current prices, expiration dates, etc. </w:t>
      </w:r>
    </w:p>
    <w:p w14:paraId="4C38E212" w14:textId="3D45AFD2" w:rsidR="00B55B3A" w:rsidRDefault="00B55B3A">
      <w:pPr>
        <w:rPr>
          <w:rFonts w:ascii="Arial" w:hAnsi="Arial" w:cs="Arial"/>
          <w:sz w:val="20"/>
          <w:szCs w:val="20"/>
        </w:rPr>
      </w:pPr>
    </w:p>
    <w:p w14:paraId="10105532" w14:textId="6CA15262" w:rsidR="00B55B3A" w:rsidRDefault="00B55B3A">
      <w:pPr>
        <w:rPr>
          <w:rFonts w:ascii="Arial" w:hAnsi="Arial" w:cs="Arial"/>
          <w:sz w:val="20"/>
          <w:szCs w:val="20"/>
        </w:rPr>
      </w:pPr>
      <w:r w:rsidRPr="00B55B3A">
        <w:rPr>
          <w:rFonts w:ascii="Arial" w:hAnsi="Arial" w:cs="Arial"/>
          <w:sz w:val="20"/>
          <w:szCs w:val="20"/>
          <w:shd w:val="clear" w:color="auto" w:fill="E2EFD9" w:themeFill="accent6" w:themeFillTint="33"/>
        </w:rPr>
        <w:t>Green shading</w:t>
      </w:r>
      <w:r>
        <w:rPr>
          <w:rFonts w:ascii="Arial" w:hAnsi="Arial" w:cs="Arial"/>
          <w:sz w:val="20"/>
          <w:szCs w:val="20"/>
        </w:rPr>
        <w:t xml:space="preserve"> indicates that psychopharmacology hours were advertised as included. </w:t>
      </w:r>
    </w:p>
    <w:p w14:paraId="03E25DD2" w14:textId="1E3605DA" w:rsidR="00822BB8" w:rsidRDefault="00822BB8">
      <w:pPr>
        <w:rPr>
          <w:rFonts w:ascii="Arial" w:hAnsi="Arial" w:cs="Arial"/>
          <w:sz w:val="20"/>
          <w:szCs w:val="20"/>
        </w:rPr>
      </w:pPr>
    </w:p>
    <w:p w14:paraId="198B3764" w14:textId="1BF1CF44" w:rsidR="00822BB8" w:rsidRDefault="00822BB8">
      <w:pPr>
        <w:rPr>
          <w:rFonts w:ascii="Arial" w:hAnsi="Arial" w:cs="Arial"/>
          <w:sz w:val="20"/>
          <w:szCs w:val="20"/>
        </w:rPr>
      </w:pPr>
      <w:r w:rsidRPr="00822BB8">
        <w:rPr>
          <w:rFonts w:ascii="Arial" w:hAnsi="Arial" w:cs="Arial"/>
          <w:b/>
          <w:bCs/>
          <w:i/>
          <w:iCs/>
          <w:sz w:val="20"/>
          <w:szCs w:val="20"/>
        </w:rPr>
        <w:t xml:space="preserve">Help </w:t>
      </w:r>
      <w:proofErr w:type="gramStart"/>
      <w:r w:rsidRPr="00822BB8">
        <w:rPr>
          <w:rFonts w:ascii="Arial" w:hAnsi="Arial" w:cs="Arial"/>
          <w:b/>
          <w:bCs/>
          <w:i/>
          <w:iCs/>
          <w:sz w:val="20"/>
          <w:szCs w:val="20"/>
        </w:rPr>
        <w:t>add</w:t>
      </w:r>
      <w:proofErr w:type="gramEnd"/>
      <w:r w:rsidRPr="00822BB8">
        <w:rPr>
          <w:rFonts w:ascii="Arial" w:hAnsi="Arial" w:cs="Arial"/>
          <w:b/>
          <w:bCs/>
          <w:i/>
          <w:iCs/>
          <w:sz w:val="20"/>
          <w:szCs w:val="20"/>
        </w:rPr>
        <w:t xml:space="preserve"> to this list!</w:t>
      </w:r>
      <w:r>
        <w:rPr>
          <w:rFonts w:ascii="Arial" w:hAnsi="Arial" w:cs="Arial"/>
          <w:sz w:val="20"/>
          <w:szCs w:val="20"/>
        </w:rPr>
        <w:t xml:space="preserve"> If you know of or have completed current CE activities related to PMHS recertification, please share them with </w:t>
      </w:r>
      <w:hyperlink r:id="rId8" w:history="1">
        <w:r w:rsidRPr="00206985">
          <w:rPr>
            <w:rStyle w:val="Hyperlink"/>
            <w:rFonts w:ascii="Arial" w:hAnsi="Arial" w:cs="Arial"/>
            <w:sz w:val="20"/>
            <w:szCs w:val="20"/>
          </w:rPr>
          <w:t>info@pncb.org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990F585" w14:textId="77777777" w:rsidR="00B55B3A" w:rsidRPr="006A7909" w:rsidRDefault="00B55B3A">
      <w:pPr>
        <w:rPr>
          <w:rFonts w:ascii="Arial" w:hAnsi="Arial" w:cs="Arial"/>
          <w:sz w:val="20"/>
          <w:szCs w:val="20"/>
        </w:rPr>
      </w:pPr>
    </w:p>
    <w:p w14:paraId="49A9BFBD" w14:textId="102D840A" w:rsidR="00F3350A" w:rsidRPr="006A7909" w:rsidRDefault="00F335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2250"/>
        <w:gridCol w:w="1804"/>
        <w:gridCol w:w="3602"/>
      </w:tblGrid>
      <w:tr w:rsidR="00452C65" w:rsidRPr="006A7909" w14:paraId="5338D40C" w14:textId="77777777" w:rsidTr="00B92CF0">
        <w:trPr>
          <w:trHeight w:val="314"/>
        </w:trPr>
        <w:tc>
          <w:tcPr>
            <w:tcW w:w="4315" w:type="dxa"/>
            <w:shd w:val="clear" w:color="auto" w:fill="000000" w:themeFill="text1"/>
          </w:tcPr>
          <w:p w14:paraId="5FBB7313" w14:textId="14233140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Title/Link</w:t>
            </w:r>
          </w:p>
        </w:tc>
        <w:tc>
          <w:tcPr>
            <w:tcW w:w="2250" w:type="dxa"/>
            <w:shd w:val="clear" w:color="auto" w:fill="000000" w:themeFill="text1"/>
          </w:tcPr>
          <w:p w14:paraId="38A071DD" w14:textId="4072CF4D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250" w:type="dxa"/>
            <w:shd w:val="clear" w:color="auto" w:fill="000000" w:themeFill="text1"/>
          </w:tcPr>
          <w:p w14:paraId="62D72F5F" w14:textId="77777777" w:rsid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DBMH </w:t>
            </w:r>
          </w:p>
          <w:p w14:paraId="20CD2F25" w14:textId="61646081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shd w:val="clear" w:color="auto" w:fill="000000" w:themeFill="text1"/>
          </w:tcPr>
          <w:p w14:paraId="7A965B0E" w14:textId="692AF456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proofErr w:type="spellStart"/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Psychopharm</w:t>
            </w:r>
            <w:proofErr w:type="spellEnd"/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602" w:type="dxa"/>
            <w:shd w:val="clear" w:color="auto" w:fill="000000" w:themeFill="text1"/>
          </w:tcPr>
          <w:p w14:paraId="75302643" w14:textId="678A70C4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452C65" w:rsidRPr="006A7909" w14:paraId="30115776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462BA601" w14:textId="5F046B6F" w:rsidR="00F3350A" w:rsidRPr="006A7909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909">
              <w:rPr>
                <w:rFonts w:ascii="Arial" w:hAnsi="Arial" w:cs="Arial"/>
                <w:b/>
                <w:bCs/>
                <w:sz w:val="20"/>
                <w:szCs w:val="20"/>
              </w:rPr>
              <w:t>PNCB’s</w:t>
            </w:r>
            <w:r w:rsidR="00777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Pediatric Updates</w:t>
            </w:r>
            <w:r w:rsidRPr="006A79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Psychopharm </w:t>
              </w:r>
              <w:r w:rsidR="00182D3F"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2</w:t>
              </w:r>
              <w:r w:rsidR="00182D3F"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vertAlign w:val="superscript"/>
                </w:rPr>
                <w:t>nd</w:t>
              </w:r>
              <w:r w:rsidR="00182D3F"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edition </w:t>
              </w:r>
              <w:r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module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036B0BCA" w14:textId="3DB11312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</w:t>
            </w:r>
            <w:r w:rsidR="006A7909">
              <w:rPr>
                <w:rFonts w:ascii="Arial" w:hAnsi="Arial" w:cs="Arial"/>
                <w:sz w:val="20"/>
                <w:szCs w:val="20"/>
              </w:rPr>
              <w:t>3</w:t>
            </w:r>
            <w:r w:rsidRPr="006A7909">
              <w:rPr>
                <w:rFonts w:ascii="Arial" w:hAnsi="Arial" w:cs="Arial"/>
                <w:sz w:val="20"/>
                <w:szCs w:val="20"/>
              </w:rPr>
              <w:t>5</w:t>
            </w:r>
            <w:r w:rsidR="006A7909">
              <w:rPr>
                <w:rFonts w:ascii="Arial" w:hAnsi="Arial" w:cs="Arial"/>
                <w:sz w:val="20"/>
                <w:szCs w:val="20"/>
              </w:rPr>
              <w:t xml:space="preserve"> + cost of text from AAP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066AAC0B" w14:textId="7E3CF409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4556DB3E" w14:textId="172E6709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3025AAAC" w14:textId="450AA36B" w:rsidR="00F3350A" w:rsidRPr="006A7909" w:rsidRDefault="00F636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do not have access to the required supporting textbook, y</w:t>
            </w:r>
            <w:r w:rsidR="006A7909">
              <w:rPr>
                <w:rFonts w:ascii="Arial" w:hAnsi="Arial" w:cs="Arial"/>
                <w:sz w:val="20"/>
                <w:szCs w:val="20"/>
              </w:rPr>
              <w:t xml:space="preserve">ou would purchase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6A7909">
              <w:rPr>
                <w:rFonts w:ascii="Arial" w:hAnsi="Arial" w:cs="Arial"/>
                <w:sz w:val="20"/>
                <w:szCs w:val="20"/>
              </w:rPr>
              <w:t xml:space="preserve"> separately with a discount. </w:t>
            </w:r>
            <w:r>
              <w:rPr>
                <w:rFonts w:ascii="Arial" w:hAnsi="Arial" w:cs="Arial"/>
                <w:sz w:val="20"/>
                <w:szCs w:val="20"/>
              </w:rPr>
              <w:t>Make sure to allow time for delivery, reading</w:t>
            </w:r>
            <w:r w:rsidR="00290B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module completion before 1/31</w:t>
            </w:r>
            <w:r w:rsidR="006253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0E41" w:rsidRPr="006A7909" w14:paraId="65CB334C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7A0F5C9D" w14:textId="1DDB9079" w:rsidR="00580E41" w:rsidRPr="006A7909" w:rsidRDefault="00777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Pediatric Updates: </w:t>
            </w:r>
            <w:hyperlink r:id="rId10" w:history="1">
              <w:r w:rsidRPr="0077721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Primary Care: Developmental and Behavioral Essentials</w:t>
              </w:r>
            </w:hyperlink>
          </w:p>
        </w:tc>
        <w:tc>
          <w:tcPr>
            <w:tcW w:w="2250" w:type="dxa"/>
            <w:shd w:val="clear" w:color="auto" w:fill="auto"/>
          </w:tcPr>
          <w:p w14:paraId="3A60EFDE" w14:textId="48F58C2F" w:rsidR="00580E41" w:rsidRPr="006A7909" w:rsidRDefault="00287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 + cost of text from AAP</w:t>
            </w:r>
          </w:p>
        </w:tc>
        <w:tc>
          <w:tcPr>
            <w:tcW w:w="2250" w:type="dxa"/>
            <w:shd w:val="clear" w:color="auto" w:fill="auto"/>
          </w:tcPr>
          <w:p w14:paraId="33DEE2CD" w14:textId="02D0B8E0" w:rsidR="00580E41" w:rsidRPr="006A7909" w:rsidRDefault="00777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472" w:type="dxa"/>
            <w:shd w:val="clear" w:color="auto" w:fill="auto"/>
          </w:tcPr>
          <w:p w14:paraId="08AFB36F" w14:textId="1C511283" w:rsidR="00580E41" w:rsidRPr="006A7909" w:rsidRDefault="00777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57835E73" w14:textId="00638C8E" w:rsidR="00580E41" w:rsidRDefault="0058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 note</w:t>
            </w:r>
            <w:r w:rsidR="00287CB7">
              <w:rPr>
                <w:rFonts w:ascii="Arial" w:hAnsi="Arial" w:cs="Arial"/>
                <w:sz w:val="20"/>
                <w:szCs w:val="20"/>
              </w:rPr>
              <w:t>; text is also used for below module</w:t>
            </w:r>
          </w:p>
        </w:tc>
      </w:tr>
      <w:tr w:rsidR="00580E41" w:rsidRPr="006A7909" w14:paraId="3B57491F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4032E988" w14:textId="7A0B5BAD" w:rsidR="00580E41" w:rsidRPr="006A7909" w:rsidRDefault="00777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r w:rsidR="00287CB7" w:rsidRPr="00287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Pediatric Updates: </w:t>
            </w:r>
            <w:hyperlink r:id="rId11" w:history="1">
              <w:r w:rsidR="00287CB7" w:rsidRPr="00287CB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Primary Care: Developmental and Behavioral Disorders and Treatments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7C35D8E6" w14:textId="01F5E432" w:rsidR="00580E41" w:rsidRPr="006A7909" w:rsidRDefault="0058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 + cost of text from AAP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38CEEF3C" w14:textId="15817F63" w:rsidR="00580E41" w:rsidRPr="006A7909" w:rsidRDefault="0058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75BC980D" w14:textId="2BA77184" w:rsidR="00580E41" w:rsidRPr="006A7909" w:rsidRDefault="0058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5F2220F5" w14:textId="0ECF8F76" w:rsidR="00580E41" w:rsidRDefault="00580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 note</w:t>
            </w:r>
            <w:r w:rsidR="00287CB7">
              <w:rPr>
                <w:rFonts w:ascii="Arial" w:hAnsi="Arial" w:cs="Arial"/>
                <w:sz w:val="20"/>
                <w:szCs w:val="20"/>
              </w:rPr>
              <w:t>; text is also used for above module</w:t>
            </w:r>
          </w:p>
        </w:tc>
      </w:tr>
      <w:tr w:rsidR="00182D3F" w:rsidRPr="006A7909" w14:paraId="5829A403" w14:textId="77777777" w:rsidTr="00B92CF0">
        <w:trPr>
          <w:trHeight w:val="314"/>
        </w:trPr>
        <w:tc>
          <w:tcPr>
            <w:tcW w:w="4315" w:type="dxa"/>
          </w:tcPr>
          <w:p w14:paraId="04597615" w14:textId="26519D68" w:rsidR="00182D3F" w:rsidRPr="006A7909" w:rsidRDefault="00182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2" w:history="1">
              <w:r w:rsidR="006A7909"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PMHS Guide to Recertification</w:t>
              </w:r>
            </w:hyperlink>
          </w:p>
        </w:tc>
        <w:tc>
          <w:tcPr>
            <w:tcW w:w="2250" w:type="dxa"/>
          </w:tcPr>
          <w:p w14:paraId="7713AA5D" w14:textId="2019E39B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487BAE77" w14:textId="1C3D7426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14:paraId="4BE0EEA9" w14:textId="7C9D8A2D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0F30A4A9" w14:textId="77777777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909" w:rsidRPr="006A7909" w14:paraId="7522F793" w14:textId="77777777" w:rsidTr="00B92CF0">
        <w:trPr>
          <w:trHeight w:val="314"/>
        </w:trPr>
        <w:tc>
          <w:tcPr>
            <w:tcW w:w="4315" w:type="dxa"/>
          </w:tcPr>
          <w:p w14:paraId="7AE267C3" w14:textId="1A38F174" w:rsidR="006A7909" w:rsidRPr="006A7909" w:rsidRDefault="006A79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3" w:history="1">
              <w:r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Pediatric Behavioral Health in Primary Care</w:t>
              </w:r>
            </w:hyperlink>
          </w:p>
        </w:tc>
        <w:tc>
          <w:tcPr>
            <w:tcW w:w="2250" w:type="dxa"/>
          </w:tcPr>
          <w:p w14:paraId="5AB39F78" w14:textId="5DAF9291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37F9B3B5" w14:textId="5A1B6718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472" w:type="dxa"/>
          </w:tcPr>
          <w:p w14:paraId="016FFCED" w14:textId="684EF17D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4046BF3A" w14:textId="78017240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follow-up module on charting and coding will be released by end of 2019. </w:t>
            </w:r>
          </w:p>
        </w:tc>
      </w:tr>
      <w:tr w:rsidR="0049052B" w:rsidRPr="006A7909" w14:paraId="3E2BA4FF" w14:textId="77777777" w:rsidTr="00B92CF0">
        <w:trPr>
          <w:trHeight w:val="314"/>
        </w:trPr>
        <w:tc>
          <w:tcPr>
            <w:tcW w:w="4315" w:type="dxa"/>
          </w:tcPr>
          <w:p w14:paraId="2C6086FF" w14:textId="15E233E3" w:rsidR="0049052B" w:rsidRPr="006A7909" w:rsidRDefault="0049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4" w:history="1">
              <w:r w:rsidRPr="0049052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Charting &amp; Coding for Behavioral Health Services in Primary Care</w:t>
              </w:r>
            </w:hyperlink>
          </w:p>
        </w:tc>
        <w:tc>
          <w:tcPr>
            <w:tcW w:w="2250" w:type="dxa"/>
          </w:tcPr>
          <w:p w14:paraId="0E27B8EF" w14:textId="51508393" w:rsidR="0049052B" w:rsidRDefault="0049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2250" w:type="dxa"/>
          </w:tcPr>
          <w:p w14:paraId="24EE6990" w14:textId="2B066E36" w:rsidR="0049052B" w:rsidRDefault="0049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</w:tcPr>
          <w:p w14:paraId="695490C0" w14:textId="30BED9AC" w:rsidR="0049052B" w:rsidRDefault="0049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6C4214FA" w14:textId="77777777" w:rsidR="0049052B" w:rsidRDefault="00490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A8" w:rsidRPr="006A7909" w14:paraId="27EAE68A" w14:textId="77777777" w:rsidTr="00B92CF0">
        <w:trPr>
          <w:trHeight w:val="314"/>
        </w:trPr>
        <w:tc>
          <w:tcPr>
            <w:tcW w:w="4315" w:type="dxa"/>
          </w:tcPr>
          <w:p w14:paraId="728F4049" w14:textId="3E15F252" w:rsidR="007B1AA8" w:rsidRDefault="007B1A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5" w:history="1">
              <w:r w:rsidR="00902D38" w:rsidRPr="00902D3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Implementing Bully Victimization Screening</w:t>
              </w:r>
            </w:hyperlink>
          </w:p>
        </w:tc>
        <w:tc>
          <w:tcPr>
            <w:tcW w:w="2250" w:type="dxa"/>
          </w:tcPr>
          <w:p w14:paraId="7CA21333" w14:textId="4412F0FE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70C77972" w14:textId="5B27CAF3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472" w:type="dxa"/>
          </w:tcPr>
          <w:p w14:paraId="2F8AF63D" w14:textId="20A1BFBE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01154453" w14:textId="77777777" w:rsidR="007B1AA8" w:rsidRDefault="007B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A8" w:rsidRPr="006A7909" w14:paraId="190593AE" w14:textId="77777777" w:rsidTr="00B92CF0">
        <w:trPr>
          <w:trHeight w:val="314"/>
        </w:trPr>
        <w:tc>
          <w:tcPr>
            <w:tcW w:w="4315" w:type="dxa"/>
          </w:tcPr>
          <w:p w14:paraId="1BD850B1" w14:textId="23E25D79" w:rsidR="007B1AA8" w:rsidRDefault="00C94B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6" w:history="1">
              <w:r w:rsidRPr="00C94BC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Teen and Intimate Partner Violence Screening</w:t>
              </w:r>
            </w:hyperlink>
          </w:p>
        </w:tc>
        <w:tc>
          <w:tcPr>
            <w:tcW w:w="2250" w:type="dxa"/>
          </w:tcPr>
          <w:p w14:paraId="549C5610" w14:textId="44C9F5F6" w:rsidR="007B1AA8" w:rsidRDefault="00C9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0C9E93C2" w14:textId="213C4A72" w:rsidR="007B1AA8" w:rsidRDefault="00C9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472" w:type="dxa"/>
          </w:tcPr>
          <w:p w14:paraId="3A973B30" w14:textId="2100B049" w:rsidR="007B1AA8" w:rsidRDefault="00C9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56C685BD" w14:textId="77777777" w:rsidR="007B1AA8" w:rsidRDefault="007B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F0" w:rsidRPr="006A7909" w14:paraId="35781A6E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2F44AABD" w14:textId="72666D34" w:rsidR="00B92CF0" w:rsidRPr="00B92CF0" w:rsidRDefault="00F67D9F">
            <w:pPr>
              <w:rPr>
                <w:rFonts w:ascii="Arial" w:hAnsi="Arial" w:cs="Arial"/>
                <w:b/>
                <w:bCs/>
              </w:rPr>
            </w:pPr>
            <w:hyperlink r:id="rId17" w:history="1">
              <w:proofErr w:type="spellStart"/>
              <w:r w:rsidR="00B92CF0" w:rsidRPr="00B92CF0">
                <w:rPr>
                  <w:rStyle w:val="Hyperlink"/>
                  <w:rFonts w:ascii="Arial" w:hAnsi="Arial" w:cs="Arial"/>
                  <w:b/>
                  <w:bCs/>
                </w:rPr>
                <w:t>Carlat</w:t>
              </w:r>
              <w:proofErr w:type="spellEnd"/>
              <w:r w:rsidR="00B92CF0" w:rsidRPr="00B92CF0">
                <w:rPr>
                  <w:rStyle w:val="Hyperlink"/>
                  <w:rFonts w:ascii="Arial" w:hAnsi="Arial" w:cs="Arial"/>
                  <w:b/>
                  <w:bCs/>
                </w:rPr>
                <w:t xml:space="preserve"> Child Medication Fact Book for Psychiatric Practice</w:t>
              </w:r>
            </w:hyperlink>
            <w:r w:rsidR="00B92CF0" w:rsidRPr="00B92C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7856CFED" w14:textId="061E6952" w:rsidR="00B92CF0" w:rsidRPr="006A7909" w:rsidRDefault="00B9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$59.95 for online reference; $89.95 for print and online reference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3573AAF0" w14:textId="1CD4E956" w:rsidR="00B92CF0" w:rsidRPr="006A7909" w:rsidRDefault="00B92CF0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31718C22" w14:textId="2F085618" w:rsidR="00B92CF0" w:rsidRPr="006A7909" w:rsidRDefault="00B9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6C19D11C" w14:textId="77777777" w:rsidR="00B92CF0" w:rsidRDefault="00B92CF0"/>
        </w:tc>
      </w:tr>
      <w:tr w:rsidR="00E24678" w:rsidRPr="006A7909" w14:paraId="15436547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23327772" w14:textId="438DFEB5" w:rsidR="00E24678" w:rsidRPr="006A7909" w:rsidRDefault="00F6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E24678" w:rsidRPr="0014625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Psych Congress Network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621D108D" w14:textId="3918E1F5" w:rsidR="00E24678" w:rsidRPr="006A7909" w:rsidRDefault="00625257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$20 per session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010DDA6" w14:textId="77777777" w:rsidR="00E24678" w:rsidRPr="006A7909" w:rsidRDefault="00E24678" w:rsidP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2EFD9" w:themeFill="accent6" w:themeFillTint="33"/>
          </w:tcPr>
          <w:p w14:paraId="7213D669" w14:textId="77777777" w:rsidR="00E24678" w:rsidRPr="006A7909" w:rsidRDefault="00E24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E2EFD9" w:themeFill="accent6" w:themeFillTint="33"/>
          </w:tcPr>
          <w:p w14:paraId="7C0AC6FD" w14:textId="77777777" w:rsidR="00625257" w:rsidRPr="006A7909" w:rsidRDefault="00F67D9F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25257" w:rsidRPr="006A790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https://www.naccme.com/pcod</w:t>
              </w:r>
            </w:hyperlink>
          </w:p>
          <w:p w14:paraId="7E156151" w14:textId="29337C08" w:rsidR="00E24678" w:rsidRPr="006A7909" w:rsidRDefault="00625257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 xml:space="preserve">You will need to search for peds-applicable content </w:t>
            </w:r>
          </w:p>
        </w:tc>
      </w:tr>
      <w:tr w:rsidR="00FE1E2E" w:rsidRPr="006A7909" w14:paraId="2F0B390B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72B29753" w14:textId="7A15442E" w:rsidR="00FE1E2E" w:rsidRPr="00A2407F" w:rsidRDefault="00F6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APNA has a variety of </w:t>
              </w:r>
              <w:r w:rsidR="00182D3F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psycho</w:t>
              </w:r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pharm</w:t>
              </w:r>
            </w:hyperlink>
            <w:r w:rsidR="00FE1E2E" w:rsidRPr="00A24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ranging from free to $28 for non-members, but you would need to estimate how many are peds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48643866" w14:textId="0F67AB2B" w:rsidR="00FE1E2E" w:rsidRPr="00A2407F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A2407F">
              <w:rPr>
                <w:rFonts w:ascii="Arial" w:hAnsi="Arial" w:cs="Arial"/>
                <w:sz w:val="20"/>
                <w:szCs w:val="20"/>
              </w:rPr>
              <w:t>Free to $28 each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47D47499" w14:textId="56D76095" w:rsidR="00FE1E2E" w:rsidRPr="00A2407F" w:rsidRDefault="000B2505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offer a psycho-pharmacology section but please ensure pediatric content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3C89FFBA" w14:textId="77777777" w:rsidR="00FE1E2E" w:rsidRPr="00A2407F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E2EFD9" w:themeFill="accent6" w:themeFillTint="33"/>
          </w:tcPr>
          <w:p w14:paraId="15245CDD" w14:textId="77777777" w:rsidR="00FE1E2E" w:rsidRPr="00A2407F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F08" w:rsidRPr="006A7909" w14:paraId="37BC5657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25286EE6" w14:textId="3125D9B5" w:rsidR="00AC1F08" w:rsidRPr="00A2407F" w:rsidRDefault="005A5035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5A5035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Institute for Brain Potential: </w:t>
            </w:r>
            <w:hyperlink r:id="rId21" w:history="1">
              <w:r w:rsidRPr="005A503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Child and Adolescent Clinical Psychopharmacology Made Simple</w:t>
              </w:r>
            </w:hyperlink>
            <w:r w:rsidRPr="005A5035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5A5035">
              <w:rPr>
                <w:rStyle w:val="Hyperlink"/>
                <w:b/>
                <w:bCs/>
                <w:color w:val="auto"/>
                <w:u w:val="none"/>
              </w:rPr>
              <w:t>– text-based program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B332F45" w14:textId="50D47DBA" w:rsidR="00AC1F08" w:rsidRPr="00A2407F" w:rsidRDefault="005A5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5A92902" w14:textId="6958DBE6" w:rsidR="00AC1F08" w:rsidRPr="00A2407F" w:rsidRDefault="005A5035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1596FB62" w14:textId="65C3F30C" w:rsidR="00AC1F08" w:rsidRPr="00A2407F" w:rsidRDefault="00AC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E2EFD9" w:themeFill="accent6" w:themeFillTint="33"/>
          </w:tcPr>
          <w:p w14:paraId="5C36A748" w14:textId="77367E28" w:rsidR="00AC1F08" w:rsidRPr="006A7909" w:rsidRDefault="00AC1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2E" w:rsidRPr="006A7909" w14:paraId="4A0A229C" w14:textId="77777777" w:rsidTr="00B92CF0">
        <w:trPr>
          <w:trHeight w:val="314"/>
        </w:trPr>
        <w:tc>
          <w:tcPr>
            <w:tcW w:w="4315" w:type="dxa"/>
          </w:tcPr>
          <w:p w14:paraId="567F17C0" w14:textId="3D8CC34A" w:rsidR="00FE1E2E" w:rsidRPr="00A2407F" w:rsidRDefault="00FE1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Nurse CE 4 Less: </w:t>
            </w:r>
            <w:hyperlink r:id="rId22" w:history="1">
              <w:r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Screening And Diagnosing ADHD In Pediatrics</w:t>
              </w:r>
            </w:hyperlink>
          </w:p>
        </w:tc>
        <w:tc>
          <w:tcPr>
            <w:tcW w:w="2250" w:type="dxa"/>
          </w:tcPr>
          <w:p w14:paraId="64BEF438" w14:textId="3A247CAC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$1</w:t>
            </w:r>
            <w:r w:rsidR="008A32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14:paraId="0CABEF86" w14:textId="362A295B" w:rsidR="00FE1E2E" w:rsidRPr="006A7909" w:rsidRDefault="00FE1E2E" w:rsidP="00FE1E2E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472" w:type="dxa"/>
          </w:tcPr>
          <w:p w14:paraId="3B109FBA" w14:textId="0A8158C3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07CC7751" w14:textId="77777777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5" w:rsidRPr="006A7909" w14:paraId="6E1085B7" w14:textId="77777777" w:rsidTr="00B92CF0">
        <w:trPr>
          <w:trHeight w:val="314"/>
        </w:trPr>
        <w:tc>
          <w:tcPr>
            <w:tcW w:w="4315" w:type="dxa"/>
          </w:tcPr>
          <w:p w14:paraId="24550E94" w14:textId="65C84C1D" w:rsidR="00F3350A" w:rsidRPr="00A2407F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 xml:space="preserve">CDC’s </w:t>
            </w:r>
            <w:hyperlink r:id="rId23" w:anchor="/" w:history="1">
              <w:r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Preventing Adverse Childhood Experiences</w:t>
              </w:r>
            </w:hyperlink>
          </w:p>
        </w:tc>
        <w:tc>
          <w:tcPr>
            <w:tcW w:w="2250" w:type="dxa"/>
          </w:tcPr>
          <w:p w14:paraId="42CDA6BC" w14:textId="282C0798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6B8491D1" w14:textId="4FF0FC60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472" w:type="dxa"/>
          </w:tcPr>
          <w:p w14:paraId="57DAFD07" w14:textId="6B0EC6EA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0729EA5C" w14:textId="77777777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5" w:rsidRPr="006A7909" w14:paraId="4F0C5200" w14:textId="77777777" w:rsidTr="00B92CF0">
        <w:trPr>
          <w:trHeight w:val="302"/>
        </w:trPr>
        <w:tc>
          <w:tcPr>
            <w:tcW w:w="4315" w:type="dxa"/>
          </w:tcPr>
          <w:p w14:paraId="1A5B882E" w14:textId="77777777" w:rsidR="00F3350A" w:rsidRPr="00A2407F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>CDC:</w:t>
            </w:r>
          </w:p>
          <w:p w14:paraId="44840A3A" w14:textId="77777777" w:rsidR="00F3350A" w:rsidRPr="00A2407F" w:rsidRDefault="00F67D9F" w:rsidP="00F3350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hyperlink r:id="rId24" w:history="1">
              <w:r w:rsidR="00F3350A"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Autism Case Training</w:t>
              </w:r>
            </w:hyperlink>
            <w:r w:rsidR="00F3350A"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: Identifying (1.4)</w:t>
            </w:r>
          </w:p>
          <w:p w14:paraId="188931C8" w14:textId="77777777" w:rsidR="00F3350A" w:rsidRPr="00A2407F" w:rsidRDefault="00F67D9F" w:rsidP="00F3350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hyperlink r:id="rId25" w:history="1">
              <w:r w:rsidR="00F3350A"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Autism Case Training</w:t>
              </w:r>
            </w:hyperlink>
            <w:r w:rsidR="00F3350A"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: Diagnosing (1.6)</w:t>
            </w:r>
          </w:p>
          <w:p w14:paraId="62478FE9" w14:textId="77777777" w:rsidR="00F3350A" w:rsidRPr="00A2407F" w:rsidRDefault="00F67D9F" w:rsidP="00F3350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hyperlink r:id="rId26" w:history="1">
              <w:r w:rsidR="00F3350A"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Autism Case Training:</w:t>
              </w:r>
            </w:hyperlink>
            <w:r w:rsidR="00F3350A"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 xml:space="preserve"> Managing (2.1)</w:t>
            </w:r>
          </w:p>
          <w:p w14:paraId="0AE6A376" w14:textId="3F32C926" w:rsidR="00F3350A" w:rsidRPr="00A2407F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2E23D5E" w14:textId="7CBBC840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6B58C86A" w14:textId="71DA66FA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72" w:type="dxa"/>
          </w:tcPr>
          <w:p w14:paraId="480D6AF1" w14:textId="62AD8180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45CC70B3" w14:textId="4A7AFAFF" w:rsidR="00F3350A" w:rsidRPr="006A7909" w:rsidRDefault="007A26E6">
            <w:pPr>
              <w:rPr>
                <w:rFonts w:ascii="Arial" w:hAnsi="Arial" w:cs="Arial"/>
                <w:sz w:val="20"/>
                <w:szCs w:val="20"/>
              </w:rPr>
            </w:pPr>
            <w:r w:rsidRPr="007A26E6">
              <w:rPr>
                <w:rFonts w:ascii="Arial" w:hAnsi="Arial" w:cs="Arial"/>
                <w:color w:val="FF0000"/>
                <w:sz w:val="20"/>
                <w:szCs w:val="20"/>
              </w:rPr>
              <w:t>Expires November 1, 2020</w:t>
            </w:r>
          </w:p>
        </w:tc>
      </w:tr>
      <w:tr w:rsidR="00452C65" w:rsidRPr="006A7909" w14:paraId="6011A387" w14:textId="77777777" w:rsidTr="00B92CF0">
        <w:trPr>
          <w:trHeight w:val="314"/>
        </w:trPr>
        <w:tc>
          <w:tcPr>
            <w:tcW w:w="4315" w:type="dxa"/>
          </w:tcPr>
          <w:p w14:paraId="0A402B32" w14:textId="77777777" w:rsidR="00F3350A" w:rsidRPr="00A2407F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>CDC:</w:t>
            </w:r>
          </w:p>
          <w:p w14:paraId="5AC5C3A3" w14:textId="77777777" w:rsidR="00F3350A" w:rsidRPr="00A2407F" w:rsidRDefault="00F67D9F" w:rsidP="00F3350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hyperlink r:id="rId27" w:history="1">
              <w:r w:rsidR="00F3350A"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Marijuana Exposure in Pediatric Populations</w:t>
              </w:r>
            </w:hyperlink>
            <w:r w:rsidR="00F3350A"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 xml:space="preserve"> (.8)</w:t>
            </w:r>
          </w:p>
          <w:p w14:paraId="6FEF3BAF" w14:textId="77777777" w:rsidR="00F3350A" w:rsidRPr="00A2407F" w:rsidRDefault="00F67D9F" w:rsidP="00F3350A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hyperlink r:id="rId28" w:history="1">
              <w:r w:rsidR="00F3350A"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Marijuana Use in Adolescent Populations</w:t>
              </w:r>
            </w:hyperlink>
            <w:r w:rsidR="00F3350A"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 xml:space="preserve"> (.8)</w:t>
            </w:r>
          </w:p>
          <w:p w14:paraId="26B2B513" w14:textId="26FB1ACE" w:rsidR="00F3350A" w:rsidRPr="00A2407F" w:rsidRDefault="00F33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CFC60" w14:textId="635C7432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</w:tcPr>
          <w:p w14:paraId="1EB90E8A" w14:textId="709DD925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472" w:type="dxa"/>
          </w:tcPr>
          <w:p w14:paraId="3C6F7570" w14:textId="6CE28AD6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1AF91119" w14:textId="77777777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E1" w:rsidRPr="006A7909" w14:paraId="03B630B9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06DA8A5E" w14:textId="28B1F2FA" w:rsidR="005D5EE1" w:rsidRPr="000A28C0" w:rsidRDefault="00F6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5D5EE1" w:rsidRPr="005D5E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NAPNAP offers several courses</w:t>
              </w:r>
            </w:hyperlink>
            <w:r w:rsidR="005D5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under the course category “Mental Health”</w:t>
            </w:r>
          </w:p>
        </w:tc>
        <w:tc>
          <w:tcPr>
            <w:tcW w:w="2250" w:type="dxa"/>
            <w:shd w:val="clear" w:color="auto" w:fill="auto"/>
          </w:tcPr>
          <w:p w14:paraId="08FAE842" w14:textId="607253D6" w:rsidR="005D5EE1" w:rsidRPr="00BB28AA" w:rsidRDefault="005D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1CACD09E" w14:textId="17485774" w:rsidR="005D5EE1" w:rsidRDefault="005D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472" w:type="dxa"/>
            <w:shd w:val="clear" w:color="auto" w:fill="auto"/>
          </w:tcPr>
          <w:p w14:paraId="2CCC106C" w14:textId="77777777" w:rsidR="005D5EE1" w:rsidRDefault="005D5E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2B9EBC9A" w14:textId="77777777" w:rsidR="005D5EE1" w:rsidRDefault="005D5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5" w:rsidRPr="006A7909" w14:paraId="25916BEB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023D5EAF" w14:textId="008B0938" w:rsidR="00F3350A" w:rsidRPr="000A28C0" w:rsidRDefault="00851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C0">
              <w:rPr>
                <w:rFonts w:ascii="Arial" w:hAnsi="Arial" w:cs="Arial"/>
                <w:b/>
                <w:bCs/>
                <w:sz w:val="20"/>
                <w:szCs w:val="20"/>
              </w:rPr>
              <w:t>NAPNA</w:t>
            </w:r>
            <w:r w:rsidRPr="000A28C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2EFD9" w:themeFill="accent6" w:themeFillTint="33"/>
              </w:rPr>
              <w:t xml:space="preserve">P: </w:t>
            </w:r>
            <w:hyperlink r:id="rId30" w:history="1">
              <w:r w:rsidR="001E3A6E" w:rsidRPr="001E3A6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Complex ADHD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4AE99B11" w14:textId="5C931B86" w:rsidR="00BB28AA" w:rsidRDefault="008517C7">
            <w:pPr>
              <w:rPr>
                <w:rFonts w:ascii="Arial" w:hAnsi="Arial" w:cs="Arial"/>
                <w:sz w:val="20"/>
                <w:szCs w:val="20"/>
              </w:rPr>
            </w:pPr>
            <w:r w:rsidRPr="00BB28AA">
              <w:rPr>
                <w:rFonts w:ascii="Arial" w:hAnsi="Arial" w:cs="Arial"/>
                <w:sz w:val="20"/>
                <w:szCs w:val="20"/>
              </w:rPr>
              <w:t>$</w:t>
            </w:r>
            <w:r w:rsidR="001E3A6E">
              <w:rPr>
                <w:rFonts w:ascii="Arial" w:hAnsi="Arial" w:cs="Arial"/>
                <w:sz w:val="20"/>
                <w:szCs w:val="20"/>
              </w:rPr>
              <w:t>2</w:t>
            </w:r>
            <w:r w:rsidRPr="00BB28A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6614C7" w14:textId="2D538455" w:rsidR="00F3350A" w:rsidRPr="00BB28AA" w:rsidRDefault="00BB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3A6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members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7237C86B" w14:textId="43591167" w:rsidR="00F3350A" w:rsidRPr="00BB28AA" w:rsidRDefault="001E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6110B58F" w14:textId="02450503" w:rsidR="00F3350A" w:rsidRPr="00BB28AA" w:rsidRDefault="001E3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591213E0" w14:textId="2B8C2107" w:rsidR="00F3350A" w:rsidRPr="006A7909" w:rsidRDefault="000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expires 1</w:t>
            </w:r>
            <w:r w:rsidR="001E3A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/3</w:t>
            </w:r>
            <w:r w:rsidR="001E3A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E3A6E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</w:tr>
      <w:tr w:rsidR="001E3A6E" w:rsidRPr="006A7909" w14:paraId="48BBC140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799904C0" w14:textId="5DE0FAD8" w:rsidR="001E3A6E" w:rsidRPr="000A28C0" w:rsidRDefault="001E3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NAPNAP: </w:t>
            </w:r>
            <w:hyperlink r:id="rId31" w:history="1">
              <w:r w:rsidRPr="00974D8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Psychopharmacology of ADHD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7E584111" w14:textId="68E8082E" w:rsidR="001E3A6E" w:rsidRPr="00BB28AA" w:rsidRDefault="0097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AC52B2E" w14:textId="288ECE0A" w:rsidR="001E3A6E" w:rsidRDefault="0097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19163CE2" w14:textId="09831CBE" w:rsidR="001E3A6E" w:rsidRDefault="0097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052A7449" w14:textId="3F64BF36" w:rsidR="001E3A6E" w:rsidRDefault="0097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expires 12/31/2021</w:t>
            </w:r>
          </w:p>
        </w:tc>
      </w:tr>
      <w:tr w:rsidR="004C32AD" w:rsidRPr="006A7909" w14:paraId="08D7F992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729A1EB1" w14:textId="5E433FF7" w:rsidR="004C32AD" w:rsidRPr="00BB28AA" w:rsidRDefault="004C32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NAPNAP: </w:t>
            </w:r>
            <w:hyperlink r:id="rId32" w:history="1">
              <w:r w:rsidRPr="004C32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Disruptive Behaviors from Toddlerhood through Adolescence: Diagnostic and Treatment Approaches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562E7422" w14:textId="77777777" w:rsidR="004C32AD" w:rsidRDefault="004C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  <w:p w14:paraId="1D985C8C" w14:textId="38235CBF" w:rsidR="004C32AD" w:rsidRPr="00BB28AA" w:rsidRDefault="004C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 for members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79231E3A" w14:textId="346BC1C1" w:rsidR="004C32AD" w:rsidRPr="00BB28AA" w:rsidRDefault="004C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534BA030" w14:textId="11043613" w:rsidR="004C32AD" w:rsidRPr="00BB28AA" w:rsidRDefault="004C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174D3ADD" w14:textId="77777777" w:rsidR="004C32AD" w:rsidRPr="00BB28AA" w:rsidRDefault="004C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AA" w:rsidRPr="006A7909" w14:paraId="17B91E28" w14:textId="77777777" w:rsidTr="00B92CF0">
        <w:trPr>
          <w:trHeight w:val="314"/>
        </w:trPr>
        <w:tc>
          <w:tcPr>
            <w:tcW w:w="4315" w:type="dxa"/>
          </w:tcPr>
          <w:p w14:paraId="6F08B382" w14:textId="45DA7FC3" w:rsidR="00BB28AA" w:rsidRPr="00BB28AA" w:rsidRDefault="00BB28AA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B28AA">
              <w:rPr>
                <w:rFonts w:ascii="Arial" w:hAnsi="Arial" w:cs="Arial"/>
                <w:b/>
                <w:bCs/>
                <w:sz w:val="20"/>
                <w:szCs w:val="20"/>
              </w:rPr>
              <w:t>NAPNAP</w:t>
            </w:r>
            <w:r w:rsidR="004C5928">
              <w:rPr>
                <w:rFonts w:ascii="Arial" w:hAnsi="Arial" w:cs="Arial"/>
                <w:b/>
                <w:bCs/>
                <w:sz w:val="20"/>
                <w:szCs w:val="20"/>
              </w:rPr>
              <w:t>/SDBP</w:t>
            </w:r>
            <w:r w:rsidR="004C32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A variety of case studies on ADHD and ASD </w:t>
            </w:r>
            <w:r w:rsidR="00695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  <w:hyperlink r:id="rId33" w:history="1">
              <w:r w:rsidR="00695EE0" w:rsidRPr="00B7438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https://ce.napnap.org/</w:t>
              </w:r>
            </w:hyperlink>
            <w:r w:rsidR="00695E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BDB63DC" w14:textId="3E840EA8" w:rsidR="00BB28AA" w:rsidRPr="00695EE0" w:rsidRDefault="00695EE0">
            <w:pPr>
              <w:rPr>
                <w:rFonts w:ascii="Arial" w:hAnsi="Arial" w:cs="Arial"/>
                <w:sz w:val="20"/>
                <w:szCs w:val="20"/>
              </w:rPr>
            </w:pPr>
            <w:r w:rsidRPr="00695EE0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</w:tcPr>
          <w:p w14:paraId="6A92BC78" w14:textId="60503225" w:rsidR="00BB28AA" w:rsidRPr="00695EE0" w:rsidRDefault="00695EE0">
            <w:pPr>
              <w:rPr>
                <w:rFonts w:ascii="Arial" w:hAnsi="Arial" w:cs="Arial"/>
                <w:sz w:val="20"/>
                <w:szCs w:val="20"/>
              </w:rPr>
            </w:pPr>
            <w:r w:rsidRPr="00695EE0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472" w:type="dxa"/>
          </w:tcPr>
          <w:p w14:paraId="1A5547B9" w14:textId="77777777" w:rsidR="00BB28AA" w:rsidRPr="006A7909" w:rsidRDefault="00BB28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02" w:type="dxa"/>
          </w:tcPr>
          <w:p w14:paraId="54AD4EE9" w14:textId="77777777" w:rsidR="00BB28AA" w:rsidRPr="006A7909" w:rsidRDefault="00BB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AD" w:rsidRPr="006A7909" w14:paraId="4293880B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3402135F" w14:textId="31A5F170" w:rsidR="004C32AD" w:rsidRPr="00BB28AA" w:rsidRDefault="004C32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NAPNAP</w:t>
            </w:r>
            <w:r w:rsidR="007A7106">
              <w:rPr>
                <w:rFonts w:ascii="Arial" w:hAnsi="Arial" w:cs="Arial"/>
                <w:b/>
                <w:bCs/>
                <w:sz w:val="20"/>
                <w:szCs w:val="20"/>
              </w:rPr>
              <w:t>/SDBP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C32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Case Study: </w:t>
            </w:r>
            <w:hyperlink r:id="rId34" w:history="1">
              <w:r w:rsidRPr="004C32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ADHD - Part 3: DBP Clinic: Treatment Approaches, Psychopharmacology Treatments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0A705A90" w14:textId="77777777" w:rsidR="004C32AD" w:rsidRDefault="004C32AD">
            <w:pPr>
              <w:rPr>
                <w:rFonts w:ascii="Arial" w:hAnsi="Arial" w:cs="Arial"/>
                <w:sz w:val="20"/>
                <w:szCs w:val="20"/>
              </w:rPr>
            </w:pPr>
            <w:r w:rsidRPr="004C32AD">
              <w:rPr>
                <w:rFonts w:ascii="Arial" w:hAnsi="Arial" w:cs="Arial"/>
                <w:sz w:val="20"/>
                <w:szCs w:val="20"/>
              </w:rPr>
              <w:t>$20</w:t>
            </w:r>
          </w:p>
          <w:p w14:paraId="4EAE0092" w14:textId="6B469DF3" w:rsidR="004A12DB" w:rsidRPr="004C32AD" w:rsidRDefault="004A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for members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0458D1CF" w14:textId="35047C53" w:rsidR="004C32AD" w:rsidRPr="004C32AD" w:rsidRDefault="004C32AD">
            <w:pPr>
              <w:rPr>
                <w:rFonts w:ascii="Arial" w:hAnsi="Arial" w:cs="Arial"/>
                <w:sz w:val="20"/>
                <w:szCs w:val="20"/>
              </w:rPr>
            </w:pPr>
            <w:r w:rsidRPr="004C3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5E75B3D6" w14:textId="08224B21" w:rsidR="004C32AD" w:rsidRPr="004C32AD" w:rsidRDefault="004C32AD">
            <w:pPr>
              <w:rPr>
                <w:rFonts w:ascii="Arial" w:hAnsi="Arial" w:cs="Arial"/>
                <w:sz w:val="20"/>
                <w:szCs w:val="20"/>
              </w:rPr>
            </w:pPr>
            <w:r w:rsidRPr="004C3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6480F713" w14:textId="77777777" w:rsidR="004C32AD" w:rsidRPr="006A7909" w:rsidRDefault="004C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A0" w:rsidRPr="006A7909" w14:paraId="3C5F53DE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1D7C6E00" w14:textId="04883A75" w:rsidR="00A455A0" w:rsidRPr="0075006B" w:rsidRDefault="00F67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5" w:history="1">
              <w:r w:rsidR="00A455A0" w:rsidRPr="0075006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AAP’s </w:t>
              </w:r>
              <w:proofErr w:type="spellStart"/>
              <w:r w:rsidR="00A455A0" w:rsidRPr="0075006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PediaLink</w:t>
              </w:r>
              <w:proofErr w:type="spellEnd"/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4994AEDF" w14:textId="28DE6945" w:rsidR="00A455A0" w:rsidRPr="0075006B" w:rsidRDefault="0075006B">
            <w:pPr>
              <w:rPr>
                <w:rFonts w:ascii="Arial" w:hAnsi="Arial" w:cs="Arial"/>
                <w:sz w:val="20"/>
                <w:szCs w:val="20"/>
              </w:rPr>
            </w:pPr>
            <w:r w:rsidRPr="0075006B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80575AE" w14:textId="77777777" w:rsidR="00A455A0" w:rsidRPr="0075006B" w:rsidRDefault="00A4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2EFD9" w:themeFill="accent6" w:themeFillTint="33"/>
          </w:tcPr>
          <w:p w14:paraId="348077CB" w14:textId="77777777" w:rsidR="00A455A0" w:rsidRPr="0075006B" w:rsidRDefault="00A4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E2EFD9" w:themeFill="accent6" w:themeFillTint="33"/>
          </w:tcPr>
          <w:p w14:paraId="3F806995" w14:textId="728566C4" w:rsidR="00A455A0" w:rsidRPr="0075006B" w:rsidRDefault="0075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need to explore what offers CME hours and is related to PMHS</w:t>
            </w:r>
          </w:p>
        </w:tc>
      </w:tr>
      <w:tr w:rsidR="00A01C2E" w:rsidRPr="006A7909" w14:paraId="1FB95402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60D14A04" w14:textId="6B4D91AD" w:rsidR="00A01C2E" w:rsidRDefault="00A01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ECHO Autism: Primary Care Learning Community</w:t>
            </w:r>
          </w:p>
        </w:tc>
        <w:tc>
          <w:tcPr>
            <w:tcW w:w="2250" w:type="dxa"/>
            <w:shd w:val="clear" w:color="auto" w:fill="auto"/>
          </w:tcPr>
          <w:p w14:paraId="58116D45" w14:textId="0092A8C7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2F99C689" w14:textId="1D5974BC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472" w:type="dxa"/>
            <w:shd w:val="clear" w:color="auto" w:fill="auto"/>
          </w:tcPr>
          <w:p w14:paraId="396240C6" w14:textId="77777777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5AB4CFC0" w14:textId="603B2BE7" w:rsidR="00A01C2E" w:rsidRPr="00A01C2E" w:rsidRDefault="00A01C2E" w:rsidP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60-minute learning sessions per month. To learn more, </w:t>
            </w:r>
            <w:r w:rsidRPr="00A01C2E">
              <w:rPr>
                <w:rFonts w:ascii="Arial" w:hAnsi="Arial" w:cs="Arial"/>
                <w:sz w:val="20"/>
                <w:szCs w:val="20"/>
              </w:rPr>
              <w:t>Contact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C2E">
              <w:rPr>
                <w:rFonts w:ascii="Arial" w:hAnsi="Arial" w:cs="Arial"/>
                <w:sz w:val="20"/>
                <w:szCs w:val="20"/>
              </w:rPr>
              <w:t>Coordinator:</w:t>
            </w:r>
            <w:r w:rsidR="00A45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C2E">
              <w:rPr>
                <w:rFonts w:ascii="Arial" w:hAnsi="Arial" w:cs="Arial"/>
                <w:sz w:val="20"/>
                <w:szCs w:val="20"/>
              </w:rPr>
              <w:t>Meghan Dawson</w:t>
            </w:r>
          </w:p>
          <w:p w14:paraId="095BBEF4" w14:textId="10C1560D" w:rsidR="00A01C2E" w:rsidRPr="006A7909" w:rsidRDefault="00F67D9F" w:rsidP="00A01C2E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01C2E" w:rsidRPr="004034C5">
                <w:rPr>
                  <w:rStyle w:val="Hyperlink"/>
                  <w:rFonts w:ascii="Arial" w:hAnsi="Arial" w:cs="Arial"/>
                  <w:sz w:val="20"/>
                  <w:szCs w:val="20"/>
                </w:rPr>
                <w:t>mndawson@hs.uci.edu</w:t>
              </w:r>
            </w:hyperlink>
            <w:r w:rsidR="00A01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2C65" w:rsidRPr="006A7909" w14:paraId="07761DDB" w14:textId="77777777" w:rsidTr="00B92CF0">
        <w:trPr>
          <w:trHeight w:val="314"/>
        </w:trPr>
        <w:tc>
          <w:tcPr>
            <w:tcW w:w="4315" w:type="dxa"/>
          </w:tcPr>
          <w:p w14:paraId="278C7D40" w14:textId="3F703F8C" w:rsidR="00F3350A" w:rsidRPr="00A2407F" w:rsidRDefault="008517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Western Schools: </w:t>
            </w:r>
            <w:hyperlink r:id="rId37" w:history="1">
              <w:r w:rsidRPr="003876D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Mental Health Assessment of the Pediatric Patient, 2nd Edition</w:t>
              </w:r>
            </w:hyperlink>
          </w:p>
        </w:tc>
        <w:tc>
          <w:tcPr>
            <w:tcW w:w="2250" w:type="dxa"/>
          </w:tcPr>
          <w:p w14:paraId="53ADCD93" w14:textId="1B7E1594" w:rsidR="00F3350A" w:rsidRPr="006A7909" w:rsidRDefault="008517C7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$22.95</w:t>
            </w:r>
          </w:p>
        </w:tc>
        <w:tc>
          <w:tcPr>
            <w:tcW w:w="2250" w:type="dxa"/>
          </w:tcPr>
          <w:p w14:paraId="4DB46BA0" w14:textId="4F0E993E" w:rsidR="00F3350A" w:rsidRPr="006A7909" w:rsidRDefault="008517C7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14:paraId="1D91B032" w14:textId="3A735B48" w:rsidR="00F3350A" w:rsidRPr="006A7909" w:rsidRDefault="00387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</w:tcPr>
          <w:p w14:paraId="7921242F" w14:textId="77777777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E1" w:rsidRPr="006A7909" w14:paraId="075E3CBA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573F7140" w14:textId="53A73FDD" w:rsidR="00BD2AE1" w:rsidRPr="00A2407F" w:rsidRDefault="00BD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AACAP: </w:t>
            </w:r>
            <w:hyperlink r:id="rId3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Current Topics in Pediatric Psychopharmacology: An Advanced Online Course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37E888F4" w14:textId="20001202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EDAD746" w14:textId="3DBF9405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5C818214" w14:textId="799E4D9E" w:rsidR="00BD2AE1" w:rsidRDefault="00BD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6F681799" w14:textId="77777777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E1" w:rsidRPr="006A7909" w14:paraId="1DA4C82D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186D464C" w14:textId="02B2F3AD" w:rsidR="00BD2AE1" w:rsidRDefault="00BD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Medscape: A variety of </w:t>
            </w:r>
            <w:r w:rsidR="00E80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applicable topics in the </w:t>
            </w:r>
            <w:hyperlink r:id="rId39" w:history="1">
              <w:r w:rsidR="00E804FF" w:rsidRPr="00E804F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Child and Adolescent Psychiatry CME</w:t>
              </w:r>
            </w:hyperlink>
            <w:r w:rsidR="00E80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</w:t>
            </w:r>
          </w:p>
        </w:tc>
        <w:tc>
          <w:tcPr>
            <w:tcW w:w="2250" w:type="dxa"/>
            <w:shd w:val="clear" w:color="auto" w:fill="auto"/>
          </w:tcPr>
          <w:p w14:paraId="332E9160" w14:textId="2D98EFC5" w:rsidR="00BD2AE1" w:rsidRDefault="00DC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1C8BD975" w14:textId="1AA89A55" w:rsidR="00BD2AE1" w:rsidRDefault="00DC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Usually 0.25</w:t>
            </w:r>
          </w:p>
        </w:tc>
        <w:tc>
          <w:tcPr>
            <w:tcW w:w="1472" w:type="dxa"/>
            <w:shd w:val="clear" w:color="auto" w:fill="auto"/>
          </w:tcPr>
          <w:p w14:paraId="3C221F37" w14:textId="77777777" w:rsidR="00BD2AE1" w:rsidRDefault="00BD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414664A" w14:textId="77777777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D0" w:rsidRPr="006A7909" w14:paraId="36C0D859" w14:textId="77777777" w:rsidTr="00B92CF0">
        <w:trPr>
          <w:trHeight w:val="314"/>
        </w:trPr>
        <w:tc>
          <w:tcPr>
            <w:tcW w:w="4315" w:type="dxa"/>
            <w:shd w:val="clear" w:color="auto" w:fill="E2EFD9" w:themeFill="accent6" w:themeFillTint="33"/>
          </w:tcPr>
          <w:p w14:paraId="4D1A9A43" w14:textId="410A0DDB" w:rsidR="00D45FD0" w:rsidRPr="00B55B3A" w:rsidRDefault="00B55B3A" w:rsidP="00D45FD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 w:rsidRPr="00B55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CE-credit.com: </w:t>
            </w:r>
            <w:hyperlink r:id="rId40" w:history="1"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Anxiety in Children Comparative Effectiveness Review</w:t>
              </w:r>
            </w:hyperlink>
          </w:p>
        </w:tc>
        <w:tc>
          <w:tcPr>
            <w:tcW w:w="2250" w:type="dxa"/>
            <w:shd w:val="clear" w:color="auto" w:fill="E2EFD9" w:themeFill="accent6" w:themeFillTint="33"/>
          </w:tcPr>
          <w:p w14:paraId="109CD86E" w14:textId="4151F4A0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$6.97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C27BBF7" w14:textId="002284C8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E2EFD9" w:themeFill="accent6" w:themeFillTint="33"/>
          </w:tcPr>
          <w:p w14:paraId="4B62E1EC" w14:textId="474C9A4A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E2EFD9" w:themeFill="accent6" w:themeFillTint="33"/>
          </w:tcPr>
          <w:p w14:paraId="2B8209DB" w14:textId="15429F9C" w:rsidR="00D45FD0" w:rsidRPr="006A7909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Launched in 2017</w:t>
            </w:r>
          </w:p>
        </w:tc>
      </w:tr>
      <w:tr w:rsidR="00D45FD0" w:rsidRPr="006A7909" w14:paraId="43D75077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1FFC3072" w14:textId="2F8632E5" w:rsidR="00D45FD0" w:rsidRPr="00B55B3A" w:rsidRDefault="00353505">
            <w:pPr>
              <w:rPr>
                <w:rFonts w:ascii="Arial" w:hAnsi="Arial" w:cs="Arial"/>
                <w:b/>
                <w:bCs/>
                <w:color w:val="404040"/>
                <w:shd w:val="clear" w:color="auto" w:fill="FFFFFF"/>
              </w:rPr>
            </w:pPr>
            <w:r w:rsidRPr="00B55B3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CE-credit.com: </w:t>
            </w:r>
            <w:hyperlink r:id="rId41" w:history="1">
              <w:proofErr w:type="spellStart"/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Telemental</w:t>
              </w:r>
              <w:proofErr w:type="spellEnd"/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 xml:space="preserve"> Health Care: An Effective Alternative to Conventional Mental Care &amp; Future Directions to Improve the Accessibility and Quality of Children's Mental Health Services</w:t>
              </w:r>
            </w:hyperlink>
          </w:p>
        </w:tc>
        <w:tc>
          <w:tcPr>
            <w:tcW w:w="2250" w:type="dxa"/>
            <w:shd w:val="clear" w:color="auto" w:fill="auto"/>
          </w:tcPr>
          <w:p w14:paraId="28DB3F1C" w14:textId="6E81939A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$6.97</w:t>
            </w:r>
          </w:p>
        </w:tc>
        <w:tc>
          <w:tcPr>
            <w:tcW w:w="2250" w:type="dxa"/>
            <w:shd w:val="clear" w:color="auto" w:fill="auto"/>
          </w:tcPr>
          <w:p w14:paraId="7E10E9C3" w14:textId="7C086DA8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14:paraId="69E4E0D0" w14:textId="77777777" w:rsidR="00D45FD0" w:rsidRDefault="00D4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C9178E3" w14:textId="2C1A2866" w:rsidR="00D45FD0" w:rsidRPr="006A7909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Launched in 2017</w:t>
            </w:r>
          </w:p>
        </w:tc>
      </w:tr>
      <w:tr w:rsidR="00C77BBA" w:rsidRPr="006A7909" w14:paraId="66DB0BD2" w14:textId="77777777" w:rsidTr="00B92CF0">
        <w:trPr>
          <w:trHeight w:val="314"/>
        </w:trPr>
        <w:tc>
          <w:tcPr>
            <w:tcW w:w="4315" w:type="dxa"/>
            <w:shd w:val="clear" w:color="auto" w:fill="auto"/>
          </w:tcPr>
          <w:p w14:paraId="56F0D2B1" w14:textId="71D769F2" w:rsidR="00C77BBA" w:rsidRPr="00B55B3A" w:rsidRDefault="00C77BBA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Carlat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Report: </w:t>
            </w:r>
            <w:hyperlink r:id="rId42" w:history="1">
              <w:r w:rsidRPr="00C77BB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Child Psychiatry CME Newsletter</w:t>
              </w:r>
            </w:hyperlink>
          </w:p>
        </w:tc>
        <w:tc>
          <w:tcPr>
            <w:tcW w:w="2250" w:type="dxa"/>
            <w:shd w:val="clear" w:color="auto" w:fill="auto"/>
          </w:tcPr>
          <w:p w14:paraId="6FCFB095" w14:textId="2E16F2BF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$129</w:t>
            </w:r>
          </w:p>
        </w:tc>
        <w:tc>
          <w:tcPr>
            <w:tcW w:w="2250" w:type="dxa"/>
            <w:shd w:val="clear" w:color="auto" w:fill="auto"/>
          </w:tcPr>
          <w:p w14:paraId="0DB62DA2" w14:textId="67A4E995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472" w:type="dxa"/>
            <w:shd w:val="clear" w:color="auto" w:fill="auto"/>
          </w:tcPr>
          <w:p w14:paraId="210149BD" w14:textId="31036097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49769FBE" w14:textId="77777777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F26F6" w14:textId="341C2C77" w:rsidR="00F3350A" w:rsidRDefault="00F3350A">
      <w:pPr>
        <w:rPr>
          <w:rFonts w:ascii="Arial" w:hAnsi="Arial" w:cs="Arial"/>
          <w:sz w:val="20"/>
          <w:szCs w:val="20"/>
        </w:rPr>
      </w:pPr>
    </w:p>
    <w:p w14:paraId="37E2AA79" w14:textId="0DBA38A7" w:rsidR="00537CAC" w:rsidRDefault="00537CAC" w:rsidP="00537C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Update: </w:t>
      </w:r>
      <w:r w:rsidR="00B92CF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</w:t>
      </w:r>
      <w:r w:rsidR="00B92CF0">
        <w:rPr>
          <w:rFonts w:ascii="Arial" w:hAnsi="Arial" w:cs="Arial"/>
          <w:sz w:val="20"/>
          <w:szCs w:val="20"/>
        </w:rPr>
        <w:t>0</w:t>
      </w:r>
      <w:r w:rsidR="00F22DB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</w:t>
      </w:r>
      <w:r w:rsidR="00F22DB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537CAC" w:rsidSect="006A7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7CE"/>
    <w:multiLevelType w:val="hybridMultilevel"/>
    <w:tmpl w:val="D522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D3DF6"/>
    <w:multiLevelType w:val="hybridMultilevel"/>
    <w:tmpl w:val="A3848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32963"/>
    <w:multiLevelType w:val="hybridMultilevel"/>
    <w:tmpl w:val="FA3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B2135"/>
    <w:multiLevelType w:val="hybridMultilevel"/>
    <w:tmpl w:val="491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A"/>
    <w:rsid w:val="00005356"/>
    <w:rsid w:val="000A28C0"/>
    <w:rsid w:val="000B2505"/>
    <w:rsid w:val="000B3C10"/>
    <w:rsid w:val="0014230D"/>
    <w:rsid w:val="0014625D"/>
    <w:rsid w:val="00161F2D"/>
    <w:rsid w:val="00172503"/>
    <w:rsid w:val="00182D3F"/>
    <w:rsid w:val="001E3A6E"/>
    <w:rsid w:val="00231016"/>
    <w:rsid w:val="00287CB7"/>
    <w:rsid w:val="00290BA7"/>
    <w:rsid w:val="002B0A4E"/>
    <w:rsid w:val="0033714F"/>
    <w:rsid w:val="00353505"/>
    <w:rsid w:val="003538C8"/>
    <w:rsid w:val="003876DB"/>
    <w:rsid w:val="0039472E"/>
    <w:rsid w:val="00395711"/>
    <w:rsid w:val="003B6E46"/>
    <w:rsid w:val="00452C65"/>
    <w:rsid w:val="004709D4"/>
    <w:rsid w:val="0047503B"/>
    <w:rsid w:val="0049052B"/>
    <w:rsid w:val="004A12DB"/>
    <w:rsid w:val="004C32AD"/>
    <w:rsid w:val="004C5928"/>
    <w:rsid w:val="004F1E48"/>
    <w:rsid w:val="00537CAC"/>
    <w:rsid w:val="005613EA"/>
    <w:rsid w:val="0057700B"/>
    <w:rsid w:val="00580E41"/>
    <w:rsid w:val="0058533A"/>
    <w:rsid w:val="005A5035"/>
    <w:rsid w:val="005D5EE1"/>
    <w:rsid w:val="00625257"/>
    <w:rsid w:val="006253BC"/>
    <w:rsid w:val="00645145"/>
    <w:rsid w:val="00695EE0"/>
    <w:rsid w:val="006A7909"/>
    <w:rsid w:val="0073056E"/>
    <w:rsid w:val="0075006B"/>
    <w:rsid w:val="0077721F"/>
    <w:rsid w:val="007A26E6"/>
    <w:rsid w:val="007A7106"/>
    <w:rsid w:val="007B1AA8"/>
    <w:rsid w:val="007F1450"/>
    <w:rsid w:val="008169DF"/>
    <w:rsid w:val="00822BB8"/>
    <w:rsid w:val="008517C7"/>
    <w:rsid w:val="008A3294"/>
    <w:rsid w:val="008D58FE"/>
    <w:rsid w:val="00902D38"/>
    <w:rsid w:val="00903781"/>
    <w:rsid w:val="00910E4E"/>
    <w:rsid w:val="00955BE2"/>
    <w:rsid w:val="0097396B"/>
    <w:rsid w:val="00974D86"/>
    <w:rsid w:val="009F1BD9"/>
    <w:rsid w:val="00A01C2E"/>
    <w:rsid w:val="00A2407F"/>
    <w:rsid w:val="00A455A0"/>
    <w:rsid w:val="00A85810"/>
    <w:rsid w:val="00AC1F08"/>
    <w:rsid w:val="00B0190F"/>
    <w:rsid w:val="00B55B3A"/>
    <w:rsid w:val="00B92CF0"/>
    <w:rsid w:val="00BB28AA"/>
    <w:rsid w:val="00BD2AE1"/>
    <w:rsid w:val="00BF2D7B"/>
    <w:rsid w:val="00C35BF4"/>
    <w:rsid w:val="00C77BBA"/>
    <w:rsid w:val="00C94BC4"/>
    <w:rsid w:val="00CF5039"/>
    <w:rsid w:val="00D33496"/>
    <w:rsid w:val="00D45FD0"/>
    <w:rsid w:val="00DA43A8"/>
    <w:rsid w:val="00DC11C1"/>
    <w:rsid w:val="00DC6A4E"/>
    <w:rsid w:val="00E2465C"/>
    <w:rsid w:val="00E24678"/>
    <w:rsid w:val="00E348AB"/>
    <w:rsid w:val="00E804FF"/>
    <w:rsid w:val="00F22DB6"/>
    <w:rsid w:val="00F3350A"/>
    <w:rsid w:val="00F63674"/>
    <w:rsid w:val="00F67D9F"/>
    <w:rsid w:val="00FD57F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A196"/>
  <w15:chartTrackingRefBased/>
  <w15:docId w15:val="{B173CFC7-18EC-425F-9FBB-2F2B7E6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5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9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ncb.org" TargetMode="External"/><Relationship Id="rId13" Type="http://schemas.openxmlformats.org/officeDocument/2006/relationships/hyperlink" Target="https://mypncb.pncb.org/pncbssa/ecssashop.show_product_detail?p_product_serno=727&amp;p_mode=detail" TargetMode="External"/><Relationship Id="rId18" Type="http://schemas.openxmlformats.org/officeDocument/2006/relationships/hyperlink" Target="https://www.naccme.com/pcod" TargetMode="External"/><Relationship Id="rId26" Type="http://schemas.openxmlformats.org/officeDocument/2006/relationships/hyperlink" Target="https://www.train.org/cdctrain/course/1067719/" TargetMode="External"/><Relationship Id="rId39" Type="http://schemas.openxmlformats.org/officeDocument/2006/relationships/hyperlink" Target="https://www.medscape.org/resource/child-adolescent-psychiatry/c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bpceu.com/catalog/books_chapters?step=OrderForm" TargetMode="External"/><Relationship Id="rId34" Type="http://schemas.openxmlformats.org/officeDocument/2006/relationships/hyperlink" Target="https://ce.napnap.org/content/case-study-adhd-part-3-dbp-clinic-treatment-approaches-psychopharmacology-treatments" TargetMode="External"/><Relationship Id="rId42" Type="http://schemas.openxmlformats.org/officeDocument/2006/relationships/hyperlink" Target="https://www.thecarlatreport.com/category/the-carlat-child-psychiatry-report/" TargetMode="External"/><Relationship Id="rId7" Type="http://schemas.openxmlformats.org/officeDocument/2006/relationships/hyperlink" Target="https://www.pncb.org/uptodate-offer-cpnps" TargetMode="External"/><Relationship Id="rId12" Type="http://schemas.openxmlformats.org/officeDocument/2006/relationships/hyperlink" Target="https://mypncb.pncb.org/pncbssa/ecssashop.show_product_detail?p_product_serno=648&amp;p_mode=detail" TargetMode="External"/><Relationship Id="rId17" Type="http://schemas.openxmlformats.org/officeDocument/2006/relationships/hyperlink" Target="https://www.thecarlatreport.com/product/the-carlat-child-medication-fact-book/" TargetMode="External"/><Relationship Id="rId25" Type="http://schemas.openxmlformats.org/officeDocument/2006/relationships/hyperlink" Target="https://www.train.org/cdctrain/course/1067798/" TargetMode="External"/><Relationship Id="rId33" Type="http://schemas.openxmlformats.org/officeDocument/2006/relationships/hyperlink" Target="https://ce.napnap.org/" TargetMode="External"/><Relationship Id="rId38" Type="http://schemas.openxmlformats.org/officeDocument/2006/relationships/hyperlink" Target="https://www.aacap.org/ItemDetail?iProductCode=CTPP2019&amp;Category=ONLINECME&amp;WebsiteKey=a2785385-0ccf-4047-b76a-64b4094ae0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pncb.pncb.org/pncbssa/ecssashop.show_product_detail?p_product_serno=723&amp;p_mode=detail" TargetMode="External"/><Relationship Id="rId20" Type="http://schemas.openxmlformats.org/officeDocument/2006/relationships/hyperlink" Target="https://e-learning.apna.org/2018-clinical-psychopharmacology-institute" TargetMode="External"/><Relationship Id="rId29" Type="http://schemas.openxmlformats.org/officeDocument/2006/relationships/hyperlink" Target="https://ce.napnap.org/courses" TargetMode="External"/><Relationship Id="rId41" Type="http://schemas.openxmlformats.org/officeDocument/2006/relationships/hyperlink" Target="https://secure.ce-credit.com/courses/102318/telemental-health-care-an-effective-alternative-to-conventional-mental-care-future-directions-to-improve-the-accessibility-and-quality-of-childrens-mental-health-servi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ptodate.com/home/earning-cme-ce-cpd-credit-uptodate" TargetMode="External"/><Relationship Id="rId11" Type="http://schemas.openxmlformats.org/officeDocument/2006/relationships/hyperlink" Target="https://mypncb.pncb.org/pncbssa/ecssashop.show_product_detail?p_product_serno=747&amp;p_mode=detail" TargetMode="External"/><Relationship Id="rId24" Type="http://schemas.openxmlformats.org/officeDocument/2006/relationships/hyperlink" Target="https://www.train.org/cdctrain/course/1067795/" TargetMode="External"/><Relationship Id="rId32" Type="http://schemas.openxmlformats.org/officeDocument/2006/relationships/hyperlink" Target="https://ce.napnap.org/content/disruptive-behaviors-toddlerhood-through-adolescence-diagnostic-and-treatment-approaches" TargetMode="External"/><Relationship Id="rId37" Type="http://schemas.openxmlformats.org/officeDocument/2006/relationships/hyperlink" Target="https://www.westernschools.com/nursing/courses/mental-health-assessment-of-the-pediatric-patient-2nd-edition-n1955/?" TargetMode="External"/><Relationship Id="rId40" Type="http://schemas.openxmlformats.org/officeDocument/2006/relationships/hyperlink" Target="https://secure.ce-credit.com/courses/102395/anxiety-in-child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pncb.pncb.org/pncbssa/ecssashop.show_product_detail?p_product_serno=740&amp;p_mode=detail" TargetMode="External"/><Relationship Id="rId23" Type="http://schemas.openxmlformats.org/officeDocument/2006/relationships/hyperlink" Target="https://vetoviolence.cdc.gov/apps/aces-training/" TargetMode="External"/><Relationship Id="rId28" Type="http://schemas.openxmlformats.org/officeDocument/2006/relationships/hyperlink" Target="https://www.train.org/cdctrain/course/1076803/" TargetMode="External"/><Relationship Id="rId36" Type="http://schemas.openxmlformats.org/officeDocument/2006/relationships/hyperlink" Target="mailto:mndawson@hs.uci.edu" TargetMode="External"/><Relationship Id="rId10" Type="http://schemas.openxmlformats.org/officeDocument/2006/relationships/hyperlink" Target="https://mypncb.pncb.org/pncbssa/ecssashop.show_product_detail?p_product_serno=743&amp;p_mode=detail" TargetMode="External"/><Relationship Id="rId19" Type="http://schemas.openxmlformats.org/officeDocument/2006/relationships/hyperlink" Target="https://www.naccme.com/pcod" TargetMode="External"/><Relationship Id="rId31" Type="http://schemas.openxmlformats.org/officeDocument/2006/relationships/hyperlink" Target="https://ce.napnap.org/content/psychopharmacology-adh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pncb.pncb.org/pncbssa/ecssashop.show_product_detail?p_product_serno=566&amp;p_mode=detail" TargetMode="External"/><Relationship Id="rId14" Type="http://schemas.openxmlformats.org/officeDocument/2006/relationships/hyperlink" Target="https://mypncb.pncb.org/pncbssa/ecssashop.show_product_detail?p_product_serno=745&amp;p_mode=detail" TargetMode="External"/><Relationship Id="rId22" Type="http://schemas.openxmlformats.org/officeDocument/2006/relationships/hyperlink" Target="https://nursece4less.com/Screening-And-Diagnosing-ADHD-In-Pediatrics-Ceu" TargetMode="External"/><Relationship Id="rId27" Type="http://schemas.openxmlformats.org/officeDocument/2006/relationships/hyperlink" Target="https://www.train.org/cdctrain/course/1070415/" TargetMode="External"/><Relationship Id="rId30" Type="http://schemas.openxmlformats.org/officeDocument/2006/relationships/hyperlink" Target="https://ce.napnap.org/content/complex-adhd" TargetMode="External"/><Relationship Id="rId35" Type="http://schemas.openxmlformats.org/officeDocument/2006/relationships/hyperlink" Target="https://pedialink.aap.org/pe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1D4D-7F8C-4566-BD28-E86BA004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Jaime Mahoney</cp:lastModifiedBy>
  <cp:revision>2</cp:revision>
  <dcterms:created xsi:type="dcterms:W3CDTF">2020-11-09T18:38:00Z</dcterms:created>
  <dcterms:modified xsi:type="dcterms:W3CDTF">2020-11-09T18:38:00Z</dcterms:modified>
</cp:coreProperties>
</file>